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87831" w14:textId="692FE959" w:rsidR="00C64C89" w:rsidRDefault="002329EA" w:rsidP="002329EA">
      <w:pPr>
        <w:spacing w:line="240" w:lineRule="auto"/>
        <w:contextualSpacing/>
        <w:jc w:val="right"/>
        <w:rPr>
          <w:rFonts w:ascii="TheSansOffice" w:hAnsi="TheSansOffice" w:cs="Arial"/>
          <w:sz w:val="24"/>
          <w:szCs w:val="24"/>
        </w:rPr>
      </w:pPr>
      <w:r w:rsidRPr="002329EA">
        <w:rPr>
          <w:rFonts w:ascii="TheSansOffice" w:eastAsia="Times New Roman" w:hAnsi="TheSansOffice" w:cs="Times New Roman"/>
          <w:noProof/>
          <w:sz w:val="16"/>
          <w:szCs w:val="16"/>
          <w:lang w:bidi="en-US"/>
        </w:rPr>
        <w:drawing>
          <wp:inline distT="0" distB="0" distL="0" distR="0" wp14:anchorId="6E17DF6F" wp14:editId="24E398F1">
            <wp:extent cx="1724025" cy="71307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198" cy="72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87BD7" w14:textId="5D8C35D5" w:rsidR="00C64C89" w:rsidRDefault="00C64C89" w:rsidP="00C64C89">
      <w:pPr>
        <w:spacing w:line="240" w:lineRule="auto"/>
        <w:contextualSpacing/>
        <w:jc w:val="both"/>
        <w:rPr>
          <w:rFonts w:ascii="TheSansOffice" w:hAnsi="TheSansOffice" w:cs="Arial"/>
          <w:sz w:val="24"/>
          <w:szCs w:val="24"/>
        </w:rPr>
      </w:pPr>
    </w:p>
    <w:p w14:paraId="3904443C" w14:textId="1E17BF74" w:rsidR="00C64C89" w:rsidRDefault="00C64C89" w:rsidP="00C64C89">
      <w:pPr>
        <w:spacing w:line="240" w:lineRule="auto"/>
        <w:contextualSpacing/>
        <w:jc w:val="both"/>
        <w:rPr>
          <w:rFonts w:ascii="TheSansOffice" w:hAnsi="TheSansOffice" w:cs="Arial"/>
          <w:sz w:val="24"/>
          <w:szCs w:val="24"/>
        </w:rPr>
      </w:pPr>
      <w:r>
        <w:rPr>
          <w:rFonts w:ascii="TheSansOffice" w:hAnsi="TheSansOffice" w:cs="Arial"/>
          <w:sz w:val="24"/>
          <w:szCs w:val="24"/>
        </w:rPr>
        <w:t>An</w:t>
      </w:r>
    </w:p>
    <w:p w14:paraId="14B36839" w14:textId="3E7135FE" w:rsidR="002C48DA" w:rsidRDefault="00C64C89" w:rsidP="00C64C89">
      <w:pPr>
        <w:spacing w:line="240" w:lineRule="auto"/>
        <w:contextualSpacing/>
        <w:jc w:val="both"/>
        <w:rPr>
          <w:rFonts w:ascii="TheSansOffice" w:hAnsi="TheSansOffice" w:cs="Arial"/>
          <w:sz w:val="24"/>
          <w:szCs w:val="24"/>
        </w:rPr>
      </w:pPr>
      <w:r>
        <w:rPr>
          <w:rFonts w:ascii="TheSansOffice" w:hAnsi="TheSansOffice" w:cs="Arial"/>
          <w:sz w:val="24"/>
          <w:szCs w:val="24"/>
        </w:rPr>
        <w:t>die Mitglieder des Hauptvorstandes</w:t>
      </w:r>
    </w:p>
    <w:p w14:paraId="3BB6650F" w14:textId="77777777" w:rsidR="00C64C89" w:rsidRDefault="00C64C89" w:rsidP="00C64C89">
      <w:pPr>
        <w:spacing w:line="240" w:lineRule="auto"/>
        <w:contextualSpacing/>
        <w:jc w:val="both"/>
        <w:rPr>
          <w:rFonts w:ascii="TheSansOffice" w:hAnsi="TheSansOffice" w:cs="Arial"/>
          <w:sz w:val="24"/>
          <w:szCs w:val="24"/>
        </w:rPr>
      </w:pPr>
    </w:p>
    <w:p w14:paraId="2FE78D99" w14:textId="1DC8CEE8" w:rsidR="00C64C89" w:rsidRDefault="00C64C89" w:rsidP="00C64C89">
      <w:pPr>
        <w:spacing w:line="240" w:lineRule="auto"/>
        <w:contextualSpacing/>
        <w:jc w:val="both"/>
        <w:rPr>
          <w:rFonts w:ascii="TheSansOffice" w:hAnsi="TheSansOffice" w:cs="Arial"/>
          <w:sz w:val="24"/>
          <w:szCs w:val="24"/>
        </w:rPr>
      </w:pPr>
      <w:r>
        <w:rPr>
          <w:rFonts w:ascii="TheSansOffice" w:hAnsi="TheSansOffice" w:cs="Arial"/>
          <w:sz w:val="24"/>
          <w:szCs w:val="24"/>
        </w:rPr>
        <w:t>-je besonders-</w:t>
      </w:r>
    </w:p>
    <w:p w14:paraId="65452F03" w14:textId="77777777" w:rsidR="002C48DA" w:rsidRDefault="002C48DA" w:rsidP="002C48DA">
      <w:pPr>
        <w:jc w:val="both"/>
        <w:rPr>
          <w:rFonts w:ascii="TheSansOffice" w:hAnsi="TheSansOffice" w:cs="Arial"/>
          <w:sz w:val="24"/>
          <w:szCs w:val="24"/>
        </w:rPr>
      </w:pPr>
    </w:p>
    <w:p w14:paraId="1362BBD4" w14:textId="77777777" w:rsidR="002C48DA" w:rsidRDefault="002C48DA" w:rsidP="002C48DA">
      <w:pPr>
        <w:jc w:val="both"/>
        <w:rPr>
          <w:rFonts w:ascii="TheSansOffice" w:hAnsi="TheSansOffice" w:cs="Arial"/>
          <w:sz w:val="24"/>
          <w:szCs w:val="24"/>
        </w:rPr>
      </w:pPr>
    </w:p>
    <w:p w14:paraId="3979929B" w14:textId="77777777" w:rsidR="002C48DA" w:rsidRDefault="002C48DA" w:rsidP="002C48DA">
      <w:pPr>
        <w:jc w:val="both"/>
        <w:rPr>
          <w:rFonts w:ascii="TheSansOffice" w:hAnsi="TheSansOffice" w:cs="Arial"/>
          <w:sz w:val="24"/>
          <w:szCs w:val="24"/>
        </w:rPr>
      </w:pPr>
    </w:p>
    <w:p w14:paraId="1EEDE5CD" w14:textId="77777777" w:rsidR="002C48DA" w:rsidRDefault="002C48DA" w:rsidP="002C48DA">
      <w:pPr>
        <w:jc w:val="both"/>
        <w:rPr>
          <w:rFonts w:ascii="TheSansOffice" w:hAnsi="TheSansOffice" w:cs="Arial"/>
          <w:sz w:val="24"/>
          <w:szCs w:val="24"/>
        </w:rPr>
      </w:pPr>
    </w:p>
    <w:p w14:paraId="208CC1C5" w14:textId="4A6F1384" w:rsidR="00235F68" w:rsidRDefault="002C6F7A" w:rsidP="002C48DA">
      <w:pPr>
        <w:jc w:val="both"/>
        <w:rPr>
          <w:rFonts w:ascii="TheSansOffice" w:hAnsi="TheSansOffice" w:cs="Arial"/>
          <w:sz w:val="24"/>
          <w:szCs w:val="24"/>
        </w:rPr>
      </w:pPr>
      <w:r w:rsidRPr="002C48DA">
        <w:rPr>
          <w:rFonts w:ascii="TheSansOffice" w:hAnsi="TheSansOffice" w:cs="Arial"/>
          <w:sz w:val="24"/>
          <w:szCs w:val="24"/>
        </w:rPr>
        <w:t>Musterwidersprüche für das Haushaltsjahr 2020</w:t>
      </w:r>
    </w:p>
    <w:p w14:paraId="224C911C" w14:textId="7DF24612" w:rsidR="002329EA" w:rsidRDefault="002329EA" w:rsidP="002C48DA">
      <w:pPr>
        <w:jc w:val="both"/>
        <w:rPr>
          <w:rFonts w:ascii="TheSansOffice" w:hAnsi="TheSansOffice" w:cs="Arial"/>
          <w:sz w:val="24"/>
          <w:szCs w:val="24"/>
        </w:rPr>
      </w:pPr>
    </w:p>
    <w:p w14:paraId="368B0DC8" w14:textId="77EC36F0" w:rsidR="00BA409F" w:rsidRPr="002C48DA" w:rsidRDefault="002C6F7A" w:rsidP="002C48DA">
      <w:pPr>
        <w:jc w:val="both"/>
        <w:rPr>
          <w:rFonts w:ascii="TheSansOffice" w:hAnsi="TheSansOffice" w:cs="Arial"/>
          <w:sz w:val="24"/>
          <w:szCs w:val="24"/>
        </w:rPr>
      </w:pPr>
      <w:r w:rsidRPr="002C48DA">
        <w:rPr>
          <w:rFonts w:ascii="TheSansOffice" w:hAnsi="TheSansOffice" w:cs="Arial"/>
          <w:sz w:val="24"/>
          <w:szCs w:val="24"/>
        </w:rPr>
        <w:t xml:space="preserve">Das Bundesverfassungsgericht hat mit </w:t>
      </w:r>
      <w:r w:rsidR="00BA409F" w:rsidRPr="002C48DA">
        <w:rPr>
          <w:rFonts w:ascii="TheSansOffice" w:hAnsi="TheSansOffice" w:cs="Arial"/>
          <w:sz w:val="24"/>
          <w:szCs w:val="24"/>
        </w:rPr>
        <w:t>zwei Beschlüssen vom 4.</w:t>
      </w:r>
      <w:r w:rsidR="002C48DA">
        <w:rPr>
          <w:rFonts w:ascii="TheSansOffice" w:hAnsi="TheSansOffice" w:cs="Arial"/>
          <w:sz w:val="24"/>
          <w:szCs w:val="24"/>
        </w:rPr>
        <w:t xml:space="preserve"> </w:t>
      </w:r>
      <w:r w:rsidR="00BA409F" w:rsidRPr="002C48DA">
        <w:rPr>
          <w:rFonts w:ascii="TheSansOffice" w:hAnsi="TheSansOffice" w:cs="Arial"/>
          <w:sz w:val="24"/>
          <w:szCs w:val="24"/>
        </w:rPr>
        <w:t>Mai 2020 festgestellt, dass sowohl die „Grundbesoldung“ im Land Berlin im Jahr 2009 bis 2015 als auch die in den Jahren 2013 bis 2015 in Nordrhein-Westfalen gewährte Besoldung ab dem dritten Kind in verfassungswidriger Weise zu niedrig bemessen war.</w:t>
      </w:r>
    </w:p>
    <w:p w14:paraId="0F9C75D8" w14:textId="26E69B9A" w:rsidR="00BA409F" w:rsidRPr="002C48DA" w:rsidRDefault="00BA409F" w:rsidP="002C48DA">
      <w:pPr>
        <w:jc w:val="both"/>
        <w:rPr>
          <w:rFonts w:ascii="TheSansOffice" w:hAnsi="TheSansOffice" w:cs="Arial"/>
          <w:sz w:val="24"/>
          <w:szCs w:val="24"/>
        </w:rPr>
      </w:pPr>
      <w:r w:rsidRPr="002C48DA">
        <w:rPr>
          <w:rFonts w:ascii="TheSansOffice" w:hAnsi="TheSansOffice" w:cs="Arial"/>
          <w:sz w:val="24"/>
          <w:szCs w:val="24"/>
        </w:rPr>
        <w:t>In den Entscheidungen wurden die Gesetzgeber de</w:t>
      </w:r>
      <w:r w:rsidR="00707A2F" w:rsidRPr="002C48DA">
        <w:rPr>
          <w:rFonts w:ascii="TheSansOffice" w:hAnsi="TheSansOffice" w:cs="Arial"/>
          <w:sz w:val="24"/>
          <w:szCs w:val="24"/>
        </w:rPr>
        <w:t>r</w:t>
      </w:r>
      <w:r w:rsidRPr="002C48DA">
        <w:rPr>
          <w:rFonts w:ascii="TheSansOffice" w:hAnsi="TheSansOffice" w:cs="Arial"/>
          <w:sz w:val="24"/>
          <w:szCs w:val="24"/>
        </w:rPr>
        <w:t xml:space="preserve"> L</w:t>
      </w:r>
      <w:r w:rsidR="00707A2F" w:rsidRPr="002C48DA">
        <w:rPr>
          <w:rFonts w:ascii="TheSansOffice" w:hAnsi="TheSansOffice" w:cs="Arial"/>
          <w:sz w:val="24"/>
          <w:szCs w:val="24"/>
        </w:rPr>
        <w:t>ä</w:t>
      </w:r>
      <w:r w:rsidRPr="002C48DA">
        <w:rPr>
          <w:rFonts w:ascii="TheSansOffice" w:hAnsi="TheSansOffice" w:cs="Arial"/>
          <w:sz w:val="24"/>
          <w:szCs w:val="24"/>
        </w:rPr>
        <w:t>nde</w:t>
      </w:r>
      <w:r w:rsidR="00707A2F" w:rsidRPr="002C48DA">
        <w:rPr>
          <w:rFonts w:ascii="TheSansOffice" w:hAnsi="TheSansOffice" w:cs="Arial"/>
          <w:sz w:val="24"/>
          <w:szCs w:val="24"/>
        </w:rPr>
        <w:t>r</w:t>
      </w:r>
      <w:r w:rsidRPr="002C48DA">
        <w:rPr>
          <w:rFonts w:ascii="TheSansOffice" w:hAnsi="TheSansOffice" w:cs="Arial"/>
          <w:sz w:val="24"/>
          <w:szCs w:val="24"/>
        </w:rPr>
        <w:t xml:space="preserve"> Berlin und Nordrhein-Westfalen </w:t>
      </w:r>
      <w:r w:rsidR="00707A2F" w:rsidRPr="002C48DA">
        <w:rPr>
          <w:rFonts w:ascii="TheSansOffice" w:hAnsi="TheSansOffice" w:cs="Arial"/>
          <w:sz w:val="24"/>
          <w:szCs w:val="24"/>
        </w:rPr>
        <w:t xml:space="preserve">jeweils </w:t>
      </w:r>
      <w:r w:rsidRPr="002C48DA">
        <w:rPr>
          <w:rFonts w:ascii="TheSansOffice" w:hAnsi="TheSansOffice" w:cs="Arial"/>
          <w:sz w:val="24"/>
          <w:szCs w:val="24"/>
        </w:rPr>
        <w:t>aufgefordert, bis zum 1.</w:t>
      </w:r>
      <w:r w:rsidR="002C48DA">
        <w:rPr>
          <w:rFonts w:ascii="TheSansOffice" w:hAnsi="TheSansOffice" w:cs="Arial"/>
          <w:sz w:val="24"/>
          <w:szCs w:val="24"/>
        </w:rPr>
        <w:t xml:space="preserve"> </w:t>
      </w:r>
      <w:r w:rsidRPr="002C48DA">
        <w:rPr>
          <w:rFonts w:ascii="TheSansOffice" w:hAnsi="TheSansOffice" w:cs="Arial"/>
          <w:sz w:val="24"/>
          <w:szCs w:val="24"/>
        </w:rPr>
        <w:t>Juli bzw.</w:t>
      </w:r>
      <w:r w:rsidR="002C48DA">
        <w:rPr>
          <w:rFonts w:ascii="TheSansOffice" w:hAnsi="TheSansOffice" w:cs="Arial"/>
          <w:sz w:val="24"/>
          <w:szCs w:val="24"/>
        </w:rPr>
        <w:t xml:space="preserve"> </w:t>
      </w:r>
      <w:r w:rsidRPr="002C48DA">
        <w:rPr>
          <w:rFonts w:ascii="TheSansOffice" w:hAnsi="TheSansOffice" w:cs="Arial"/>
          <w:sz w:val="24"/>
          <w:szCs w:val="24"/>
        </w:rPr>
        <w:t>31.</w:t>
      </w:r>
      <w:r w:rsidR="002C48DA">
        <w:rPr>
          <w:rFonts w:ascii="TheSansOffice" w:hAnsi="TheSansOffice" w:cs="Arial"/>
          <w:sz w:val="24"/>
          <w:szCs w:val="24"/>
        </w:rPr>
        <w:t xml:space="preserve"> </w:t>
      </w:r>
      <w:r w:rsidRPr="002C48DA">
        <w:rPr>
          <w:rFonts w:ascii="TheSansOffice" w:hAnsi="TheSansOffice" w:cs="Arial"/>
          <w:sz w:val="24"/>
          <w:szCs w:val="24"/>
        </w:rPr>
        <w:t>Juli 2021</w:t>
      </w:r>
      <w:r w:rsidR="005C0324" w:rsidRPr="002C48DA">
        <w:rPr>
          <w:rFonts w:ascii="TheSansOffice" w:hAnsi="TheSansOffice" w:cs="Arial"/>
          <w:sz w:val="24"/>
          <w:szCs w:val="24"/>
        </w:rPr>
        <w:t xml:space="preserve"> </w:t>
      </w:r>
      <w:r w:rsidRPr="002C48DA">
        <w:rPr>
          <w:rFonts w:ascii="TheSansOffice" w:hAnsi="TheSansOffice" w:cs="Arial"/>
          <w:sz w:val="24"/>
          <w:szCs w:val="24"/>
        </w:rPr>
        <w:t xml:space="preserve">eine verfassungskonforme Regelung zu treffen. Angesichts der Komplexität der Entscheidungen ist erst im nächsten Jahr mit entsprechenden </w:t>
      </w:r>
      <w:r w:rsidR="005C0324" w:rsidRPr="002C48DA">
        <w:rPr>
          <w:rFonts w:ascii="TheSansOffice" w:hAnsi="TheSansOffice" w:cs="Arial"/>
          <w:sz w:val="24"/>
          <w:szCs w:val="24"/>
        </w:rPr>
        <w:t>Ge</w:t>
      </w:r>
      <w:r w:rsidR="005427A9" w:rsidRPr="002C48DA">
        <w:rPr>
          <w:rFonts w:ascii="TheSansOffice" w:hAnsi="TheSansOffice" w:cs="Arial"/>
          <w:sz w:val="24"/>
          <w:szCs w:val="24"/>
        </w:rPr>
        <w:t>setzentwürfen zu rechnen und nach</w:t>
      </w:r>
      <w:r w:rsidR="005C0324" w:rsidRPr="002C48DA">
        <w:rPr>
          <w:rFonts w:ascii="TheSansOffice" w:hAnsi="TheSansOffice" w:cs="Arial"/>
          <w:sz w:val="24"/>
          <w:szCs w:val="24"/>
        </w:rPr>
        <w:t xml:space="preserve"> Vorliegen der Gesetzesentwürfe</w:t>
      </w:r>
      <w:r w:rsidRPr="002C48DA">
        <w:rPr>
          <w:rFonts w:ascii="TheSansOffice" w:hAnsi="TheSansOffice" w:cs="Arial"/>
          <w:sz w:val="24"/>
          <w:szCs w:val="24"/>
        </w:rPr>
        <w:t xml:space="preserve"> wird eine Entscheidung der Landesregierung Brandenburg zu erwarten sein, wie mit den </w:t>
      </w:r>
      <w:r w:rsidR="00707A2F" w:rsidRPr="002C48DA">
        <w:rPr>
          <w:rFonts w:ascii="TheSansOffice" w:hAnsi="TheSansOffice" w:cs="Arial"/>
          <w:sz w:val="24"/>
          <w:szCs w:val="24"/>
        </w:rPr>
        <w:t>Beschlüss</w:t>
      </w:r>
      <w:r w:rsidRPr="002C48DA">
        <w:rPr>
          <w:rFonts w:ascii="TheSansOffice" w:hAnsi="TheSansOffice" w:cs="Arial"/>
          <w:sz w:val="24"/>
          <w:szCs w:val="24"/>
        </w:rPr>
        <w:t>en</w:t>
      </w:r>
      <w:r w:rsidR="00707A2F" w:rsidRPr="002C48DA">
        <w:rPr>
          <w:rFonts w:ascii="TheSansOffice" w:hAnsi="TheSansOffice" w:cs="Arial"/>
          <w:sz w:val="24"/>
          <w:szCs w:val="24"/>
        </w:rPr>
        <w:t xml:space="preserve"> </w:t>
      </w:r>
      <w:r w:rsidRPr="002C48DA">
        <w:rPr>
          <w:rFonts w:ascii="TheSansOffice" w:hAnsi="TheSansOffice" w:cs="Arial"/>
          <w:sz w:val="24"/>
          <w:szCs w:val="24"/>
        </w:rPr>
        <w:t>umgegangen wird.</w:t>
      </w:r>
    </w:p>
    <w:p w14:paraId="00619E30" w14:textId="77777777" w:rsidR="00707A2F" w:rsidRPr="002C48DA" w:rsidRDefault="00BA409F" w:rsidP="002C48DA">
      <w:pPr>
        <w:jc w:val="both"/>
        <w:rPr>
          <w:rFonts w:ascii="TheSansOffice" w:hAnsi="TheSansOffice" w:cs="Arial"/>
          <w:sz w:val="24"/>
          <w:szCs w:val="24"/>
        </w:rPr>
      </w:pPr>
      <w:r w:rsidRPr="002C48DA">
        <w:rPr>
          <w:rFonts w:ascii="TheSansOffice" w:hAnsi="TheSansOffice" w:cs="Arial"/>
          <w:sz w:val="24"/>
          <w:szCs w:val="24"/>
        </w:rPr>
        <w:t xml:space="preserve">Das Bundesverfassungsgericht hat in beiden Entscheidungen </w:t>
      </w:r>
      <w:r w:rsidR="00707A2F" w:rsidRPr="002C48DA">
        <w:rPr>
          <w:rFonts w:ascii="TheSansOffice" w:hAnsi="TheSansOffice" w:cs="Arial"/>
          <w:sz w:val="24"/>
          <w:szCs w:val="24"/>
        </w:rPr>
        <w:t>betont, dass nur diejenigen Beamtinnen und Beamte eine Nachzahlung erwarten können, die ihre Ansprüche jeweils im laufenden Haushaltsjahr geltend machen.</w:t>
      </w:r>
    </w:p>
    <w:p w14:paraId="3BFE4C30" w14:textId="71B137D3" w:rsidR="00707A2F" w:rsidRPr="002C48DA" w:rsidRDefault="00707A2F" w:rsidP="002C48DA">
      <w:pPr>
        <w:jc w:val="both"/>
        <w:rPr>
          <w:rFonts w:ascii="TheSansOffice" w:hAnsi="TheSansOffice" w:cs="Arial"/>
          <w:sz w:val="24"/>
          <w:szCs w:val="24"/>
        </w:rPr>
      </w:pPr>
      <w:r w:rsidRPr="002C48DA">
        <w:rPr>
          <w:rFonts w:ascii="TheSansOffice" w:hAnsi="TheSansOffice" w:cs="Arial"/>
          <w:sz w:val="24"/>
          <w:szCs w:val="24"/>
        </w:rPr>
        <w:t xml:space="preserve">Der dbb brandenburg und </w:t>
      </w:r>
      <w:proofErr w:type="spellStart"/>
      <w:r w:rsidRPr="002C48DA">
        <w:rPr>
          <w:rFonts w:ascii="TheSansOffice" w:hAnsi="TheSansOffice" w:cs="Arial"/>
          <w:sz w:val="24"/>
          <w:szCs w:val="24"/>
        </w:rPr>
        <w:t>tarifunion</w:t>
      </w:r>
      <w:proofErr w:type="spellEnd"/>
      <w:r w:rsidRPr="002C48DA">
        <w:rPr>
          <w:rFonts w:ascii="TheSansOffice" w:hAnsi="TheSansOffice" w:cs="Arial"/>
          <w:sz w:val="24"/>
          <w:szCs w:val="24"/>
        </w:rPr>
        <w:t xml:space="preserve"> empfiehlt daher </w:t>
      </w:r>
      <w:r w:rsidRPr="002C48DA">
        <w:rPr>
          <w:rFonts w:ascii="TheSansOffice" w:hAnsi="TheSansOffice" w:cs="Arial"/>
          <w:b/>
          <w:sz w:val="24"/>
          <w:szCs w:val="24"/>
        </w:rPr>
        <w:t>ausdrücklich</w:t>
      </w:r>
      <w:r w:rsidRPr="002C48DA">
        <w:rPr>
          <w:rFonts w:ascii="TheSansOffice" w:hAnsi="TheSansOffice" w:cs="Arial"/>
          <w:sz w:val="24"/>
          <w:szCs w:val="24"/>
        </w:rPr>
        <w:t xml:space="preserve">, Widerspruch für das Jahr 2020 einzulegen. Dieser muss von jedem Einzelnen eigenständig </w:t>
      </w:r>
      <w:r w:rsidR="002C48DA" w:rsidRPr="002C48DA">
        <w:rPr>
          <w:rFonts w:ascii="TheSansOffice" w:hAnsi="TheSansOffice" w:cs="Arial"/>
          <w:sz w:val="24"/>
          <w:szCs w:val="24"/>
        </w:rPr>
        <w:t>bei den Dienstherren</w:t>
      </w:r>
      <w:r w:rsidRPr="002C48DA">
        <w:rPr>
          <w:rFonts w:ascii="TheSansOffice" w:hAnsi="TheSansOffice" w:cs="Arial"/>
          <w:sz w:val="24"/>
          <w:szCs w:val="24"/>
        </w:rPr>
        <w:t xml:space="preserve"> noch im laufenden Haushaltsjahr 2020 eingelegt werden. Eine Rechtschutzgewährung durch den dbb ist angesichts d</w:t>
      </w:r>
      <w:r w:rsidR="005427A9" w:rsidRPr="002C48DA">
        <w:rPr>
          <w:rFonts w:ascii="TheSansOffice" w:hAnsi="TheSansOffice" w:cs="Arial"/>
          <w:sz w:val="24"/>
          <w:szCs w:val="24"/>
        </w:rPr>
        <w:t xml:space="preserve">er Anzahl der Fälle und </w:t>
      </w:r>
      <w:r w:rsidR="002B4B9A" w:rsidRPr="002C48DA">
        <w:rPr>
          <w:rFonts w:ascii="TheSansOffice" w:hAnsi="TheSansOffice" w:cs="Arial"/>
          <w:sz w:val="24"/>
          <w:szCs w:val="24"/>
        </w:rPr>
        <w:t>der nicht</w:t>
      </w:r>
      <w:r w:rsidRPr="002C48DA">
        <w:rPr>
          <w:rFonts w:ascii="TheSansOffice" w:hAnsi="TheSansOffice" w:cs="Arial"/>
          <w:sz w:val="24"/>
          <w:szCs w:val="24"/>
        </w:rPr>
        <w:t xml:space="preserve"> feststehenden Erfolgsaussichten nicht möglich.</w:t>
      </w:r>
    </w:p>
    <w:p w14:paraId="25BDA27C" w14:textId="77777777" w:rsidR="00A5386D" w:rsidRPr="002C48DA" w:rsidRDefault="00A5386D" w:rsidP="002C48DA">
      <w:pPr>
        <w:jc w:val="both"/>
        <w:rPr>
          <w:rFonts w:ascii="TheSansOffice" w:hAnsi="TheSansOffice" w:cs="Arial"/>
          <w:sz w:val="24"/>
          <w:szCs w:val="24"/>
        </w:rPr>
      </w:pPr>
      <w:r w:rsidRPr="002C48DA">
        <w:rPr>
          <w:rFonts w:ascii="TheSansOffice" w:hAnsi="TheSansOffice" w:cs="Arial"/>
          <w:sz w:val="24"/>
          <w:szCs w:val="24"/>
        </w:rPr>
        <w:t>Als Anlage sind zwei Musterwidersprüche beigefügt</w:t>
      </w:r>
      <w:r w:rsidR="005427A9" w:rsidRPr="002C48DA">
        <w:rPr>
          <w:rFonts w:ascii="TheSansOffice" w:hAnsi="TheSansOffice" w:cs="Arial"/>
          <w:sz w:val="24"/>
          <w:szCs w:val="24"/>
        </w:rPr>
        <w:t>.</w:t>
      </w:r>
      <w:r w:rsidRPr="002C48DA">
        <w:rPr>
          <w:rFonts w:ascii="TheSansOffice" w:hAnsi="TheSansOffice" w:cs="Arial"/>
          <w:sz w:val="24"/>
          <w:szCs w:val="24"/>
        </w:rPr>
        <w:t xml:space="preserve"> Beamtinnen und Beamten mit drei und mehr kindergeldberechtigten Kindern wird empfohlen, zwei Widersprüche einzulegen.</w:t>
      </w:r>
      <w:r w:rsidR="005427A9" w:rsidRPr="002C48DA">
        <w:rPr>
          <w:rFonts w:ascii="TheSansOffice" w:hAnsi="TheSansOffice" w:cs="Arial"/>
          <w:sz w:val="24"/>
          <w:szCs w:val="24"/>
        </w:rPr>
        <w:t xml:space="preserve">   </w:t>
      </w:r>
    </w:p>
    <w:p w14:paraId="770F3720" w14:textId="77777777" w:rsidR="002C6F7A" w:rsidRPr="002C6F7A" w:rsidRDefault="00707A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A409F">
        <w:rPr>
          <w:rFonts w:ascii="Arial" w:hAnsi="Arial" w:cs="Arial"/>
          <w:sz w:val="24"/>
          <w:szCs w:val="24"/>
        </w:rPr>
        <w:t xml:space="preserve">  </w:t>
      </w:r>
    </w:p>
    <w:sectPr w:rsidR="002C6F7A" w:rsidRPr="002C6F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Office">
    <w:panose1 w:val="020B0503040302060204"/>
    <w:charset w:val="00"/>
    <w:family w:val="swiss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7A"/>
    <w:rsid w:val="00045AE2"/>
    <w:rsid w:val="002329EA"/>
    <w:rsid w:val="00235F68"/>
    <w:rsid w:val="002B4B9A"/>
    <w:rsid w:val="002C48DA"/>
    <w:rsid w:val="002C6F7A"/>
    <w:rsid w:val="005427A9"/>
    <w:rsid w:val="005C0324"/>
    <w:rsid w:val="00707A2F"/>
    <w:rsid w:val="00A5386D"/>
    <w:rsid w:val="00BA409F"/>
    <w:rsid w:val="00C6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5617"/>
  <w15:docId w15:val="{6022833B-60EB-4860-984C-AD6A156C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4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 Roggenbuck</dc:creator>
  <cp:lastModifiedBy>dbb brandenburg</cp:lastModifiedBy>
  <cp:revision>7</cp:revision>
  <cp:lastPrinted>2020-11-20T09:55:00Z</cp:lastPrinted>
  <dcterms:created xsi:type="dcterms:W3CDTF">2020-11-20T09:44:00Z</dcterms:created>
  <dcterms:modified xsi:type="dcterms:W3CDTF">2020-11-20T10:19:00Z</dcterms:modified>
</cp:coreProperties>
</file>